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Pr="00742BCF" w:rsidRDefault="003B1374" w:rsidP="00742BCF">
      <w:pPr>
        <w:rPr>
          <w:b/>
          <w:sz w:val="24"/>
          <w:szCs w:val="24"/>
        </w:rPr>
      </w:pPr>
      <w:r w:rsidRPr="00C34325">
        <w:rPr>
          <w:b/>
          <w:sz w:val="24"/>
          <w:szCs w:val="24"/>
        </w:rPr>
        <w:t>STRUKOVNI KURIKUL ZA STJECANJE KVALIFIKACIJE</w:t>
      </w:r>
      <w:r w:rsidR="00742BCF">
        <w:rPr>
          <w:b/>
          <w:sz w:val="24"/>
          <w:szCs w:val="24"/>
        </w:rPr>
        <w:t xml:space="preserve">: </w:t>
      </w:r>
      <w:r w:rsidR="00742BC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8195F" w:rsidRPr="00742BCF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FRIZER/KA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330521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F8195F">
        <w:rPr>
          <w:b/>
          <w:sz w:val="24"/>
          <w:szCs w:val="24"/>
        </w:rPr>
        <w:t>4.1</w:t>
      </w:r>
      <w:r w:rsidR="00363F17" w:rsidRPr="00C34325">
        <w:rPr>
          <w:b/>
          <w:sz w:val="24"/>
          <w:szCs w:val="24"/>
        </w:rPr>
        <w:t xml:space="preserve">   </w:t>
      </w:r>
      <w:r w:rsidR="00C34325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  </w:t>
      </w:r>
      <w:r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270"/>
      </w:tblGrid>
      <w:tr w:rsidR="005149FC" w:rsidTr="000A2F4B">
        <w:tc>
          <w:tcPr>
            <w:tcW w:w="9062" w:type="dxa"/>
            <w:gridSpan w:val="4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5149FC" w:rsidTr="00256643">
        <w:tc>
          <w:tcPr>
            <w:tcW w:w="5382" w:type="dxa"/>
            <w:vMerge w:val="restart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680" w:type="dxa"/>
            <w:gridSpan w:val="3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 xml:space="preserve"> </w:t>
            </w:r>
            <w:r w:rsidR="00254C3C">
              <w:rPr>
                <w:b/>
              </w:rPr>
              <w:t>Obujam modula u bodovima - CSVET</w:t>
            </w:r>
          </w:p>
        </w:tc>
      </w:tr>
      <w:tr w:rsidR="005149FC" w:rsidTr="00256643">
        <w:tc>
          <w:tcPr>
            <w:tcW w:w="5382" w:type="dxa"/>
            <w:vMerge/>
          </w:tcPr>
          <w:p w:rsidR="005149FC" w:rsidRDefault="005149FC" w:rsidP="00C34325">
            <w:pPr>
              <w:spacing w:afterAutospacing="0"/>
            </w:pPr>
          </w:p>
        </w:tc>
        <w:tc>
          <w:tcPr>
            <w:tcW w:w="1276" w:type="dxa"/>
          </w:tcPr>
          <w:p w:rsidR="005149FC" w:rsidRPr="00256643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134" w:type="dxa"/>
          </w:tcPr>
          <w:p w:rsidR="005149FC" w:rsidRPr="00256643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270" w:type="dxa"/>
          </w:tcPr>
          <w:p w:rsidR="005149FC" w:rsidRPr="00256643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3. razred</w:t>
            </w:r>
          </w:p>
        </w:tc>
      </w:tr>
      <w:tr w:rsidR="00F8195F" w:rsidTr="00256643">
        <w:tc>
          <w:tcPr>
            <w:tcW w:w="5382" w:type="dxa"/>
          </w:tcPr>
          <w:p w:rsidR="00F8195F" w:rsidRDefault="005149FC" w:rsidP="00C34325">
            <w:pPr>
              <w:spacing w:afterAutospacing="0"/>
            </w:pPr>
            <w:r>
              <w:t>Hrvatski jezik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0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</w:tr>
      <w:tr w:rsidR="005149FC" w:rsidTr="00256643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Engleski / njemački jezik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4</w:t>
            </w:r>
          </w:p>
        </w:tc>
      </w:tr>
      <w:tr w:rsidR="005149FC" w:rsidTr="00256643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Tjelesna i zdravstvena kultura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2</w:t>
            </w:r>
          </w:p>
        </w:tc>
      </w:tr>
      <w:tr w:rsidR="005149FC" w:rsidTr="00256643">
        <w:tc>
          <w:tcPr>
            <w:tcW w:w="5382" w:type="dxa"/>
          </w:tcPr>
          <w:p w:rsidR="005149FC" w:rsidRDefault="005149FC" w:rsidP="005149FC">
            <w:pPr>
              <w:spacing w:afterAutospacing="0"/>
            </w:pPr>
            <w:r>
              <w:t>Povijest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>
              <w:t>-</w:t>
            </w:r>
          </w:p>
        </w:tc>
        <w:tc>
          <w:tcPr>
            <w:tcW w:w="1270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-</w:t>
            </w:r>
          </w:p>
        </w:tc>
      </w:tr>
      <w:tr w:rsidR="00F8195F" w:rsidTr="00256643">
        <w:tc>
          <w:tcPr>
            <w:tcW w:w="5382" w:type="dxa"/>
          </w:tcPr>
          <w:p w:rsidR="00F8195F" w:rsidRDefault="005149FC" w:rsidP="00C34325">
            <w:pPr>
              <w:spacing w:afterAutospacing="0"/>
            </w:pPr>
            <w:r>
              <w:t>Vjeronauk/etika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0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</w:tr>
      <w:tr w:rsidR="00F8195F" w:rsidTr="00256643">
        <w:tc>
          <w:tcPr>
            <w:tcW w:w="5382" w:type="dxa"/>
          </w:tcPr>
          <w:p w:rsidR="00F8195F" w:rsidRPr="00742BCF" w:rsidRDefault="005149FC" w:rsidP="00C34325">
            <w:pPr>
              <w:spacing w:afterAutospacing="0"/>
              <w:rPr>
                <w:b/>
              </w:rPr>
            </w:pPr>
            <w:r w:rsidRPr="00742BCF">
              <w:rPr>
                <w:b/>
              </w:rPr>
              <w:t>UKUPNO</w:t>
            </w:r>
            <w:r w:rsidR="00742BCF">
              <w:rPr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  <w:tc>
          <w:tcPr>
            <w:tcW w:w="1270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</w:tr>
    </w:tbl>
    <w:p w:rsidR="00F8195F" w:rsidRDefault="00F8195F" w:rsidP="00C34325">
      <w:pPr>
        <w:spacing w:after="0" w:afterAutospacing="0"/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75"/>
      </w:tblGrid>
      <w:tr w:rsidR="005149FC" w:rsidTr="00E4382E">
        <w:trPr>
          <w:trHeight w:val="280"/>
        </w:trPr>
        <w:tc>
          <w:tcPr>
            <w:tcW w:w="9067" w:type="dxa"/>
            <w:gridSpan w:val="4"/>
          </w:tcPr>
          <w:p w:rsidR="005149FC" w:rsidRDefault="005149FC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5149FC" w:rsidTr="00254C3C">
        <w:trPr>
          <w:trHeight w:val="280"/>
        </w:trPr>
        <w:tc>
          <w:tcPr>
            <w:tcW w:w="5382" w:type="dxa"/>
            <w:vMerge w:val="restart"/>
          </w:tcPr>
          <w:p w:rsidR="005149FC" w:rsidRDefault="005149FC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685" w:type="dxa"/>
            <w:gridSpan w:val="3"/>
          </w:tcPr>
          <w:p w:rsidR="005149FC" w:rsidRDefault="00254C3C">
            <w:pPr>
              <w:rPr>
                <w:b/>
              </w:rPr>
            </w:pPr>
            <w:r>
              <w:rPr>
                <w:b/>
              </w:rPr>
              <w:t>O</w:t>
            </w:r>
            <w:r w:rsidR="005149FC">
              <w:rPr>
                <w:b/>
              </w:rPr>
              <w:t>bujam modula u bodovima</w:t>
            </w:r>
            <w:r>
              <w:rPr>
                <w:b/>
              </w:rPr>
              <w:t xml:space="preserve"> - CSVET</w:t>
            </w:r>
          </w:p>
        </w:tc>
      </w:tr>
      <w:tr w:rsidR="005149FC" w:rsidTr="00254C3C">
        <w:trPr>
          <w:trHeight w:val="280"/>
        </w:trPr>
        <w:tc>
          <w:tcPr>
            <w:tcW w:w="5382" w:type="dxa"/>
            <w:vMerge/>
          </w:tcPr>
          <w:p w:rsidR="005149FC" w:rsidRDefault="005149FC"/>
        </w:tc>
        <w:tc>
          <w:tcPr>
            <w:tcW w:w="1134" w:type="dxa"/>
          </w:tcPr>
          <w:p w:rsidR="005149FC" w:rsidRPr="00256643" w:rsidRDefault="005149FC">
            <w:pPr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276" w:type="dxa"/>
          </w:tcPr>
          <w:p w:rsidR="005149FC" w:rsidRPr="00256643" w:rsidRDefault="005149FC">
            <w:pPr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275" w:type="dxa"/>
          </w:tcPr>
          <w:p w:rsidR="005149FC" w:rsidRPr="00256643" w:rsidRDefault="005149FC">
            <w:pPr>
              <w:rPr>
                <w:sz w:val="20"/>
                <w:szCs w:val="20"/>
              </w:rPr>
            </w:pPr>
            <w:r w:rsidRPr="00256643">
              <w:rPr>
                <w:b/>
                <w:sz w:val="20"/>
                <w:szCs w:val="20"/>
              </w:rPr>
              <w:t>3. razred</w:t>
            </w:r>
          </w:p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149FC" w:rsidP="00231ECF">
            <w:pPr>
              <w:spacing w:before="100" w:after="100"/>
            </w:pPr>
            <w:r>
              <w:t>Frizerske procedure u frizerskom salonu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231ECF">
            <w:pPr>
              <w:spacing w:before="100" w:after="100"/>
            </w:pPr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Osnove frizerske struke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6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  <w:bookmarkStart w:id="0" w:name="_GoBack"/>
        <w:bookmarkEnd w:id="0"/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Primjena komunikacijskih vještina u postupku zapošljavanja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1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Osnove matematike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4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300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 xml:space="preserve">Kemija u </w:t>
            </w:r>
            <w:proofErr w:type="spellStart"/>
            <w:r>
              <w:t>frizerstvu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 xml:space="preserve">Preparati u </w:t>
            </w:r>
            <w:proofErr w:type="spellStart"/>
            <w:r>
              <w:t>frizerstvu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pPr>
              <w:spacing w:before="100" w:after="100"/>
            </w:pPr>
            <w:r>
              <w:t>3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149FC" w:rsidRDefault="005E5470" w:rsidP="00231ECF">
            <w:r>
              <w:t>Osnove frizerskih vještina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E5470" w:rsidP="00231ECF">
            <w:r>
              <w:t>22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5" w:type="dxa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5E5470">
            <w:r>
              <w:t>Osnove mehaničkih frizerskih procesa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5E5470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5E5470">
            <w:r>
              <w:t xml:space="preserve">Osnove </w:t>
            </w:r>
            <w:proofErr w:type="spellStart"/>
            <w:r>
              <w:t>koloracije</w:t>
            </w:r>
            <w:proofErr w:type="spellEnd"/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5E5470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5E5470">
            <w:r>
              <w:t>Geometrija ravnine i prostora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5E5470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254C3C">
        <w:trPr>
          <w:trHeight w:val="210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5E5470">
            <w:r>
              <w:t>Elementi mehaničkog oblikovanja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5E5470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149FC" w:rsidRDefault="005E5470">
            <w:r>
              <w:t>Poslovanje frizerskog salona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/>
        </w:tc>
        <w:tc>
          <w:tcPr>
            <w:tcW w:w="1276" w:type="dxa"/>
            <w:shd w:val="clear" w:color="auto" w:fill="EAF1DD" w:themeFill="accent3" w:themeFillTint="33"/>
          </w:tcPr>
          <w:p w:rsidR="005149FC" w:rsidRDefault="005E5470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5149FC" w:rsidRDefault="005149FC"/>
        </w:tc>
      </w:tr>
      <w:tr w:rsidR="005E5470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5E5470">
            <w:r>
              <w:t>Osnove vlasuljarstva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5E5470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5E5470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5E5470">
            <w:r>
              <w:t>Posebne frizure kao dio hrvatskog kulturnog nasljeđa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5E5470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5E5470" w:rsidTr="00254C3C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5E5470" w:rsidRDefault="005E5470">
            <w:r>
              <w:t>Primjena složenih frizerskih vještina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5E5470">
            <w:r>
              <w:t>23</w:t>
            </w:r>
          </w:p>
        </w:tc>
        <w:tc>
          <w:tcPr>
            <w:tcW w:w="1275" w:type="dxa"/>
            <w:shd w:val="clear" w:color="auto" w:fill="auto"/>
          </w:tcPr>
          <w:p w:rsidR="005E5470" w:rsidRDefault="005E5470"/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 xml:space="preserve">Složeni procesi </w:t>
            </w:r>
            <w:proofErr w:type="spellStart"/>
            <w:r>
              <w:t>koloracije</w:t>
            </w:r>
            <w:proofErr w:type="spellEnd"/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6D45C8">
              <w:t>5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Složeni elementi oblikovanja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6D45C8">
              <w:t>5</w:t>
            </w:r>
          </w:p>
        </w:tc>
      </w:tr>
      <w:tr w:rsidR="005149FC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5149FC" w:rsidRDefault="005E5470">
            <w:r>
              <w:t>Kemijsko oblikovanje</w:t>
            </w:r>
          </w:p>
        </w:tc>
        <w:tc>
          <w:tcPr>
            <w:tcW w:w="1134" w:type="dxa"/>
            <w:shd w:val="clear" w:color="auto" w:fill="FFFFCC"/>
          </w:tcPr>
          <w:p w:rsidR="005149FC" w:rsidRDefault="005149FC"/>
        </w:tc>
        <w:tc>
          <w:tcPr>
            <w:tcW w:w="1276" w:type="dxa"/>
            <w:shd w:val="clear" w:color="auto" w:fill="FFFFCC"/>
          </w:tcPr>
          <w:p w:rsidR="005149FC" w:rsidRDefault="005149FC"/>
        </w:tc>
        <w:tc>
          <w:tcPr>
            <w:tcW w:w="1275" w:type="dxa"/>
            <w:shd w:val="clear" w:color="auto" w:fill="FFFFCC"/>
          </w:tcPr>
          <w:p w:rsidR="005149FC" w:rsidRDefault="00330521">
            <w:r>
              <w:t>8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Linearna funkcija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C2335D">
              <w:t>1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 w:rsidP="00330521">
            <w:r>
              <w:t>Financijska pismenost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5" w:type="dxa"/>
            <w:shd w:val="clear" w:color="auto" w:fill="FFFFCC"/>
          </w:tcPr>
          <w:p w:rsidR="00330521" w:rsidRDefault="00330521" w:rsidP="00330521">
            <w:r w:rsidRPr="00C2335D">
              <w:t>1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>
            <w:r>
              <w:t>Poduzetništvo i upravljanje frizerskim salonom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5" w:type="dxa"/>
            <w:shd w:val="clear" w:color="auto" w:fill="FFFFCC"/>
          </w:tcPr>
          <w:p w:rsidR="00330521" w:rsidRDefault="00330521">
            <w:r>
              <w:t>3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FFFCC"/>
          </w:tcPr>
          <w:p w:rsidR="00330521" w:rsidRDefault="00330521">
            <w:r>
              <w:t>Napredne frizerske vještine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5" w:type="dxa"/>
            <w:shd w:val="clear" w:color="auto" w:fill="FFFFCC"/>
          </w:tcPr>
          <w:p w:rsidR="00330521" w:rsidRDefault="00330521">
            <w:r>
              <w:t>23</w:t>
            </w:r>
          </w:p>
        </w:tc>
      </w:tr>
      <w:tr w:rsidR="00330521" w:rsidTr="00556435">
        <w:trPr>
          <w:trHeight w:val="268"/>
        </w:trPr>
        <w:tc>
          <w:tcPr>
            <w:tcW w:w="9067" w:type="dxa"/>
            <w:gridSpan w:val="4"/>
            <w:shd w:val="clear" w:color="auto" w:fill="auto"/>
          </w:tcPr>
          <w:p w:rsidR="00330521" w:rsidRDefault="00330521">
            <w:r w:rsidRPr="00363F17">
              <w:rPr>
                <w:b/>
              </w:rPr>
              <w:t>I</w:t>
            </w:r>
            <w:r>
              <w:rPr>
                <w:b/>
              </w:rPr>
              <w:t xml:space="preserve">II. IZBORNI </w:t>
            </w:r>
            <w:r w:rsidRPr="00363F17">
              <w:rPr>
                <w:b/>
              </w:rPr>
              <w:t>STRUKOVNI MODULI</w:t>
            </w:r>
            <w:r>
              <w:t xml:space="preserve">                                          </w:t>
            </w:r>
            <w:r w:rsidRPr="00C34325">
              <w:t xml:space="preserve">( učenici biraju </w:t>
            </w:r>
            <w:r>
              <w:t>min.</w:t>
            </w:r>
            <w:r w:rsidRPr="00C34325">
              <w:t>1 modul )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330521" w:rsidP="00330521">
            <w:r>
              <w:t>Trendovi u struci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 w:rsidRPr="008C21C1">
              <w:t>1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330521" w:rsidP="00330521">
            <w:proofErr w:type="spellStart"/>
            <w:r>
              <w:t>Barbering</w:t>
            </w:r>
            <w:proofErr w:type="spellEnd"/>
            <w:r>
              <w:t xml:space="preserve"> </w:t>
            </w:r>
            <w:r w:rsidR="00254C3C">
              <w:t xml:space="preserve">  </w:t>
            </w:r>
            <w:r>
              <w:t>( Muški trendovi u frizerskoj djelatnosti</w:t>
            </w:r>
            <w:r w:rsidR="00742BCF">
              <w:t xml:space="preserve"> </w:t>
            </w:r>
            <w:r>
              <w:t xml:space="preserve">)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 w:rsidRPr="008C21C1">
              <w:t>1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330521" w:rsidP="00330521">
            <w:r>
              <w:t>Natjecateljske frizure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 w:rsidRPr="00A55257">
              <w:t>1</w:t>
            </w:r>
          </w:p>
        </w:tc>
      </w:tr>
      <w:tr w:rsidR="00330521" w:rsidTr="00254C3C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330521" w:rsidRDefault="00330521" w:rsidP="00330521">
            <w:r>
              <w:t>Digitalni marketing u frizerskoj djelatnosti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521" w:rsidRDefault="00330521" w:rsidP="00330521">
            <w:r w:rsidRPr="00A55257">
              <w:t>1</w:t>
            </w:r>
          </w:p>
        </w:tc>
      </w:tr>
      <w:tr w:rsidR="005149FC" w:rsidTr="00254C3C">
        <w:trPr>
          <w:trHeight w:val="396"/>
        </w:trPr>
        <w:tc>
          <w:tcPr>
            <w:tcW w:w="5382" w:type="dxa"/>
            <w:shd w:val="clear" w:color="auto" w:fill="auto"/>
          </w:tcPr>
          <w:p w:rsidR="005149FC" w:rsidRDefault="006C1592" w:rsidP="006C1592">
            <w:r>
              <w:rPr>
                <w:b/>
              </w:rPr>
              <w:t xml:space="preserve">UKUPNO bodova </w:t>
            </w:r>
            <w:r w:rsidR="00742BCF" w:rsidRPr="005E1145">
              <w:rPr>
                <w:b/>
              </w:rPr>
              <w:t>godišnje:</w:t>
            </w:r>
          </w:p>
        </w:tc>
        <w:tc>
          <w:tcPr>
            <w:tcW w:w="1134" w:type="dxa"/>
            <w:shd w:val="clear" w:color="auto" w:fill="auto"/>
          </w:tcPr>
          <w:p w:rsidR="005149FC" w:rsidRDefault="00330521">
            <w:r>
              <w:t>62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>
            <w:r>
              <w:t>60</w:t>
            </w:r>
          </w:p>
        </w:tc>
        <w:tc>
          <w:tcPr>
            <w:tcW w:w="1275" w:type="dxa"/>
            <w:shd w:val="clear" w:color="auto" w:fill="auto"/>
          </w:tcPr>
          <w:p w:rsidR="005149FC" w:rsidRDefault="00330521">
            <w:r>
              <w:t>60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231ECF"/>
    <w:rsid w:val="00254C3C"/>
    <w:rsid w:val="00256643"/>
    <w:rsid w:val="00330521"/>
    <w:rsid w:val="00363F17"/>
    <w:rsid w:val="00386BE1"/>
    <w:rsid w:val="003B1374"/>
    <w:rsid w:val="005149FC"/>
    <w:rsid w:val="0052147F"/>
    <w:rsid w:val="005E1145"/>
    <w:rsid w:val="005E5470"/>
    <w:rsid w:val="006C1592"/>
    <w:rsid w:val="00742BCF"/>
    <w:rsid w:val="00A7677A"/>
    <w:rsid w:val="00B122A8"/>
    <w:rsid w:val="00C34325"/>
    <w:rsid w:val="00C608B3"/>
    <w:rsid w:val="00E12373"/>
    <w:rsid w:val="00E66AC4"/>
    <w:rsid w:val="00EC02EC"/>
    <w:rsid w:val="00EC1624"/>
    <w:rsid w:val="00F8195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E73D-6510-43B1-98E2-3D16810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9</cp:revision>
  <cp:lastPrinted>2025-06-05T15:04:00Z</cp:lastPrinted>
  <dcterms:created xsi:type="dcterms:W3CDTF">2025-06-05T12:02:00Z</dcterms:created>
  <dcterms:modified xsi:type="dcterms:W3CDTF">2025-07-07T08:17:00Z</dcterms:modified>
</cp:coreProperties>
</file>